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6F3" w14:textId="77777777" w:rsidR="00501449" w:rsidRPr="004954CA" w:rsidRDefault="00501449" w:rsidP="00501449">
      <w:pPr>
        <w:spacing w:after="240"/>
        <w:ind w:left="36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Quattrocento Sans" w:eastAsia="Times New Roman" w:hAnsi="Quattrocento Sans" w:cs="Times New Roman"/>
          <w:b/>
          <w:bCs/>
          <w:color w:val="000000"/>
          <w:sz w:val="32"/>
          <w:szCs w:val="32"/>
          <w:shd w:val="clear" w:color="auto" w:fill="FFFFFF"/>
          <w:lang w:eastAsia="hu-HU"/>
        </w:rPr>
        <w:t>Részvételi szabályzat és Házirend</w:t>
      </w:r>
    </w:p>
    <w:p w14:paraId="2E19306B" w14:textId="77777777" w:rsidR="00501449" w:rsidRDefault="00501449" w:rsidP="005028A4">
      <w:pPr>
        <w:spacing w:after="240"/>
        <w:ind w:left="360"/>
        <w:jc w:val="center"/>
        <w:rPr>
          <w:rFonts w:ascii="Quattrocento Sans" w:eastAsia="Times New Roman" w:hAnsi="Quattrocento Sans" w:cs="Times New Roman"/>
          <w:b/>
          <w:bCs/>
          <w:color w:val="212529"/>
          <w:u w:val="single"/>
          <w:shd w:val="clear" w:color="auto" w:fill="FFFFFF"/>
          <w:lang w:eastAsia="hu-HU"/>
        </w:rPr>
      </w:pPr>
    </w:p>
    <w:p w14:paraId="5205AA47" w14:textId="5DC372D5" w:rsidR="005028A4" w:rsidRPr="004954CA" w:rsidRDefault="005028A4" w:rsidP="005028A4">
      <w:pPr>
        <w:spacing w:after="240"/>
        <w:ind w:left="36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Quattrocento Sans" w:eastAsia="Times New Roman" w:hAnsi="Quattrocento Sans" w:cs="Times New Roman"/>
          <w:b/>
          <w:bCs/>
          <w:color w:val="212529"/>
          <w:u w:val="single"/>
          <w:shd w:val="clear" w:color="auto" w:fill="FFFFFF"/>
          <w:lang w:eastAsia="hu-HU"/>
        </w:rPr>
        <w:t>Miskolci Egyetemi bALEK7/</w:t>
      </w:r>
      <w:proofErr w:type="spellStart"/>
      <w:r w:rsidRPr="004954CA">
        <w:rPr>
          <w:rFonts w:ascii="Quattrocento Sans" w:eastAsia="Times New Roman" w:hAnsi="Quattrocento Sans" w:cs="Times New Roman"/>
          <w:b/>
          <w:bCs/>
          <w:color w:val="212529"/>
          <w:u w:val="single"/>
          <w:shd w:val="clear" w:color="auto" w:fill="FFFFFF"/>
          <w:lang w:eastAsia="hu-HU"/>
        </w:rPr>
        <w:t>Gólyatábor</w:t>
      </w:r>
      <w:proofErr w:type="spellEnd"/>
    </w:p>
    <w:p w14:paraId="3E6255A9" w14:textId="77777777" w:rsidR="005028A4" w:rsidRPr="004954CA" w:rsidRDefault="005028A4" w:rsidP="005028A4">
      <w:pPr>
        <w:spacing w:after="240"/>
        <w:ind w:left="36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202</w:t>
      </w:r>
      <w:r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2.</w:t>
      </w:r>
      <w:r w:rsidRPr="004954CA"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 xml:space="preserve"> 08.2</w:t>
      </w:r>
      <w:r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1</w:t>
      </w:r>
      <w:r w:rsidRPr="004954CA"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. – 202</w:t>
      </w:r>
      <w:r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2</w:t>
      </w:r>
      <w:r w:rsidRPr="004954CA"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. 08. 2</w:t>
      </w:r>
      <w:r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5</w:t>
      </w:r>
      <w:r w:rsidRPr="004954CA">
        <w:rPr>
          <w:rFonts w:ascii="Quattrocento Sans" w:eastAsia="Times New Roman" w:hAnsi="Quattrocento Sans" w:cs="Times New Roman"/>
          <w:b/>
          <w:bCs/>
          <w:color w:val="212529"/>
          <w:shd w:val="clear" w:color="auto" w:fill="FFFFFF"/>
          <w:lang w:eastAsia="hu-HU"/>
        </w:rPr>
        <w:t>.</w:t>
      </w:r>
    </w:p>
    <w:p w14:paraId="5D7D1580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22AEB8ED" w14:textId="77777777" w:rsidR="005028A4" w:rsidRPr="004954CA" w:rsidRDefault="005028A4" w:rsidP="005028A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Általános rendelkezések</w:t>
      </w:r>
    </w:p>
    <w:p w14:paraId="23F92561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281BC671" w14:textId="77777777" w:rsidR="005028A4" w:rsidRPr="004954CA" w:rsidRDefault="005028A4" w:rsidP="005028A4">
      <w:pPr>
        <w:numPr>
          <w:ilvl w:val="0"/>
          <w:numId w:val="2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célja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hogy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megfelelo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egységes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keretet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biztosítson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Miskolci Egyetem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Gólyatáborának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szervezésében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lebonyolításában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valamint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vevo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erkölcsi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, valamint egészségének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biztonságának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megóvásában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4C98AC79" w14:textId="77777777" w:rsidR="005028A4" w:rsidRPr="004954CA" w:rsidRDefault="005028A4" w:rsidP="005028A4">
      <w:pPr>
        <w:numPr>
          <w:ilvl w:val="0"/>
          <w:numId w:val="2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Jelen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hatálya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kiterjed minden a Miskolci Egyetem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Gólyatáborban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vevo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személyre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(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szervezo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felügyelo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̋, szolgáltatók)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teljes ideje alatt.</w:t>
      </w:r>
    </w:p>
    <w:p w14:paraId="181D8C7B" w14:textId="77777777" w:rsidR="005028A4" w:rsidRPr="004954CA" w:rsidRDefault="005028A4" w:rsidP="005028A4">
      <w:pPr>
        <w:numPr>
          <w:ilvl w:val="0"/>
          <w:numId w:val="2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területét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Miskolci Egyetem Campusa (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Egyetemváros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), valamint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kijelölt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terület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(kapcsolódó rendezvények helyszínei)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képezi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 </w:t>
      </w:r>
    </w:p>
    <w:p w14:paraId="40A2FB16" w14:textId="77777777" w:rsidR="005028A4" w:rsidRPr="004954CA" w:rsidRDefault="005028A4" w:rsidP="005028A4">
      <w:p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78761DE" w14:textId="77777777" w:rsidR="005028A4" w:rsidRPr="004954CA" w:rsidRDefault="005028A4" w:rsidP="005028A4">
      <w:pPr>
        <w:numPr>
          <w:ilvl w:val="0"/>
          <w:numId w:val="2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rendezvény helyszíneire belépni és ott tartózkodni csak e szabályok betartásával lehetséges. A rendezvény területén tartózkodó nem résztvevő, nem regisztrált személyeket a rendezvény területéről azonnali távozásra szólítjuk fel, amennyiben az adott személy ennek nem tesz eleget a rendezvény helyszínéről eltávolítjuk.</w:t>
      </w:r>
    </w:p>
    <w:p w14:paraId="2FC26A8D" w14:textId="77777777" w:rsidR="005028A4" w:rsidRPr="004954CA" w:rsidRDefault="005028A4" w:rsidP="005028A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ideje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augusztus 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(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vasárnap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 –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augusztus 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(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csütörtök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)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közötti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időszak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</w:p>
    <w:p w14:paraId="507E6216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1B85CF0B" w14:textId="77777777" w:rsidR="005028A4" w:rsidRPr="004954CA" w:rsidRDefault="005028A4" w:rsidP="005028A4">
      <w:pPr>
        <w:numPr>
          <w:ilvl w:val="0"/>
          <w:numId w:val="3"/>
        </w:numPr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Értelmező rendelkezések </w:t>
      </w:r>
    </w:p>
    <w:p w14:paraId="7764A5CB" w14:textId="77777777" w:rsidR="005028A4" w:rsidRPr="004954CA" w:rsidRDefault="005028A4" w:rsidP="005028A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jelen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értelmében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6B3963EA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Főszervezo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̋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 Miskolci Egyetem Hallgatói- és Doktoranduszhallgatói Önkormányzata (a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továbbiakban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: MEHÖK) elnöksége, a Miskolci Egyetemisták Szövetsége, valamint a Kari Hallgatói Önkormányzatok. </w:t>
      </w:r>
    </w:p>
    <w:p w14:paraId="13BAFBED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Szervezo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̋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az adott szervező Karon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szervezői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feladatok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ellátására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pályázatot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benyújto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́, annak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eredményes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elbírálása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esetén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szervezőként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felvételt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nyert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75F6694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Gólya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 Miskolci Egyetemre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felvételt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nyert, de az adott szakra, illetve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félévre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még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be nem iratkozott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71EEE712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(a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továbbiakban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: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bALEKHÉT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 Miskolci Egyetem Szervezeti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egységei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megszervezett olyan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rendezvény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amely alkalmas arra, hogy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számára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tanév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megkezdése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előtt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lehetőséget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adjon az Egyetemi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hagyományokkal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szokásokkal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valo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megismerkedésre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információt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adjon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beiratkozással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tanulmányokkal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kollégiumi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jelentkezéssel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kapcsolatos fontosabb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információkról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segíti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gólyák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integrációját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az egyetemi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hallgatói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közösségbe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75239D4A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Felügyelo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̋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bALEKHÉT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lebonyolításáért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felelős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Szervezeti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egység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megbízott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aki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bALEKHÉT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biztonságáért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vállal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felelősséget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3251659A" w14:textId="77777777" w:rsidR="005028A4" w:rsidRPr="005028A4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bALEKHÉT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résztvevője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: az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aki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megfelelo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eljárást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követően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részvételi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díjat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befizette, az online regisztrációt elvégezte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erről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szervezőktől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visszaigazolást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megkapta (e-mailen vagy telefonon).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Résztvevo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lehet a Miskolci Egyetem Műszaki Földtudományi Karának, Műszaki Anyagtudományi Karának, Gépészmérnöki- és Informatikai Karának,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Állam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-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Jogtudományi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Karának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, Gazdaságtudományi Karának, Bölcsészettudományi Karának, Egészség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tudományi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Karának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Pr="005028A4">
        <w:rPr>
          <w:rFonts w:ascii="Times New Roman" w:eastAsia="Times New Roman" w:hAnsi="Times New Roman" w:cs="Times New Roman"/>
          <w:color w:val="000000"/>
          <w:lang w:eastAsia="hu-HU"/>
        </w:rPr>
        <w:t>Bartók Béla Zeneművészeti Karának</w:t>
      </w:r>
    </w:p>
    <w:p w14:paraId="7256148B" w14:textId="77B3848E" w:rsidR="005028A4" w:rsidRPr="004954CA" w:rsidRDefault="005028A4" w:rsidP="005028A4">
      <w:p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hallgatója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illetve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vendégként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meghívott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. Minden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résztvevo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személyéről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- az erre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külön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meghatározott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eljárás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keretében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–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döntenek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B5F11A7" w14:textId="77777777" w:rsidR="005028A4" w:rsidRPr="004954CA" w:rsidRDefault="005028A4" w:rsidP="005028A4">
      <w:pPr>
        <w:numPr>
          <w:ilvl w:val="0"/>
          <w:numId w:val="4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Szolgáltatók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: a rendezvény sikeres és biztonságos lebonyolításában részt vevő minden egyéb személy, akiknek jelenlétét a rendezvényen a Főszervezők jóváhagyták, így különös az egészségügyi szolgáltatók, fellépők stb.</w:t>
      </w:r>
    </w:p>
    <w:p w14:paraId="393528EE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477016A4" w14:textId="77777777" w:rsidR="005028A4" w:rsidRPr="004954CA" w:rsidRDefault="005028A4" w:rsidP="005028A4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Gólyatáborban</w:t>
      </w:r>
      <w:proofErr w:type="spellEnd"/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 xml:space="preserve"> való részvétel feltételei</w:t>
      </w:r>
    </w:p>
    <w:p w14:paraId="322165CC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464B233E" w14:textId="77777777" w:rsidR="005028A4" w:rsidRPr="004954CA" w:rsidRDefault="005028A4" w:rsidP="005028A4">
      <w:pPr>
        <w:numPr>
          <w:ilvl w:val="0"/>
          <w:numId w:val="6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bALEK7 zártkörű rendezvény, amelyen a gólyák mellett a Miskolci Egyetem Hallgatói Önkormányzata és a kari Hallgatói Önkormányzatok által kijelölt személyek, illetve a bALEK7 lebonyolításáért felelős Miskolci Egyetemisták Szövetsége (továbbiakban: </w:t>
      </w: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Szervező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) által közvetlenül és közvetetten kijelölt személyek vehetnek részt.</w:t>
      </w:r>
    </w:p>
    <w:p w14:paraId="4B93DD16" w14:textId="77777777" w:rsidR="005028A4" w:rsidRPr="004954CA" w:rsidRDefault="005028A4" w:rsidP="005028A4">
      <w:pPr>
        <w:numPr>
          <w:ilvl w:val="0"/>
          <w:numId w:val="6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bALEK7-en való részvétel feltétele a részvételi díj határidőben való megfizetése és az online regisztráció elvégzése.</w:t>
      </w:r>
    </w:p>
    <w:p w14:paraId="02956D7D" w14:textId="77777777" w:rsidR="005028A4" w:rsidRPr="004954CA" w:rsidRDefault="005028A4" w:rsidP="005028A4">
      <w:pPr>
        <w:numPr>
          <w:ilvl w:val="0"/>
          <w:numId w:val="6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 kezdete előtti 2. napot követően a befizetett részvételi díj nem igényelhető vissza.</w:t>
      </w:r>
    </w:p>
    <w:p w14:paraId="3995F561" w14:textId="77777777" w:rsidR="005028A4" w:rsidRPr="004954CA" w:rsidRDefault="005028A4" w:rsidP="005028A4">
      <w:pPr>
        <w:numPr>
          <w:ilvl w:val="0"/>
          <w:numId w:val="6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bALEK7-re való megérkezéskor az 1.1. pontban meghatározott résztvevőknek kötelező:</w:t>
      </w:r>
    </w:p>
    <w:p w14:paraId="48F36115" w14:textId="77777777" w:rsidR="005028A4" w:rsidRPr="004954CA" w:rsidRDefault="005028A4" w:rsidP="005028A4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</w:t>
      </w:r>
      <w:r w:rsidRPr="004954CA">
        <w:rPr>
          <w:rFonts w:ascii="Times New Roman" w:eastAsia="Times New Roman" w:hAnsi="Times New Roman" w:cs="Times New Roman"/>
          <w:color w:val="FF0000"/>
          <w:shd w:val="clear" w:color="auto" w:fill="FFFFFF"/>
          <w:lang w:eastAsia="hu-HU"/>
        </w:rPr>
        <w:t>résztvevők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 előzetesen online vagy a helyszíni regisztrációkor az alábbi dokumentumokat kötelesek kötelezően kitölteni:</w:t>
      </w:r>
    </w:p>
    <w:p w14:paraId="3BE0411D" w14:textId="77777777" w:rsidR="005028A4" w:rsidRPr="004954CA" w:rsidRDefault="005028A4" w:rsidP="005028A4">
      <w:pPr>
        <w:numPr>
          <w:ilvl w:val="0"/>
          <w:numId w:val="8"/>
        </w:numPr>
        <w:ind w:left="249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Jelen Házirend megismerésére, betartására vonatkozó nyilatkozat,</w:t>
      </w:r>
    </w:p>
    <w:p w14:paraId="252ED140" w14:textId="77777777" w:rsidR="005028A4" w:rsidRPr="004954CA" w:rsidRDefault="005028A4" w:rsidP="005028A4">
      <w:pPr>
        <w:numPr>
          <w:ilvl w:val="0"/>
          <w:numId w:val="8"/>
        </w:numPr>
        <w:ind w:left="249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adatkezelési nyilatkozat</w:t>
      </w:r>
    </w:p>
    <w:p w14:paraId="101E4451" w14:textId="77777777" w:rsidR="005028A4" w:rsidRPr="004954CA" w:rsidRDefault="005028A4" w:rsidP="005028A4">
      <w:pPr>
        <w:numPr>
          <w:ilvl w:val="0"/>
          <w:numId w:val="8"/>
        </w:numPr>
        <w:ind w:left="249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felelősségvállalásról szóló nyilatkozat</w:t>
      </w:r>
    </w:p>
    <w:p w14:paraId="742F9683" w14:textId="77777777" w:rsidR="005028A4" w:rsidRPr="004954CA" w:rsidRDefault="005028A4" w:rsidP="005028A4">
      <w:pPr>
        <w:numPr>
          <w:ilvl w:val="0"/>
          <w:numId w:val="8"/>
        </w:numPr>
        <w:ind w:left="249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szülői hozzájárulásról szóló nyilatkozat (amennyiben még a 18. életévét nem töltötte be a résztvevő)</w:t>
      </w:r>
    </w:p>
    <w:p w14:paraId="60AE1D8B" w14:textId="77777777" w:rsidR="005028A4" w:rsidRPr="004954CA" w:rsidRDefault="005028A4" w:rsidP="005028A4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részvételi jogosultság igazolására minden részvevő karszalagot, illetve névvel ellátott nyakpasszt kap, melyet köteles a rendezvény egész ideje alatt viselni és az arra jogosult </w:t>
      </w: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személyek (Főszervezők, szervezők) 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kérése esetén azt bemutatni. A karszalag, illetve a nyakpassz más részére át nem ruházható. A karszalag sérülését a szervezőknek azonnal jelezni kell. Új karszalag csak igazolt résztvevőnek, a sérült ellenében adható ki.</w:t>
      </w:r>
    </w:p>
    <w:p w14:paraId="12B04460" w14:textId="77777777" w:rsidR="005028A4" w:rsidRPr="004954CA" w:rsidRDefault="005028A4" w:rsidP="005028A4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bALEK7-ről bármikor lehet távozni, de a résztvevő ezt köteles jelezni, és köteles a karszalagot, és a nyakpasszt is leadni az kari főszervezők egyikének, </w:t>
      </w: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illetve írásban nyilatkozni, hogy saját felelősségére hagyta el a rendezvényt.</w:t>
      </w:r>
    </w:p>
    <w:p w14:paraId="0F3BD96A" w14:textId="77777777" w:rsidR="005028A4" w:rsidRPr="004954CA" w:rsidRDefault="005028A4" w:rsidP="005028A4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bALEK7-en minden résztvevő saját felelősségére vesz részt. A bALEK7-en lévő berendezéseket, eszközöket, sportpályákat mindenki kizárólag saját felelősségére használhatja. A bALEK7 programjain, feladatain való részvétel senkire nézve nem kötelező és egyetlen résztvevő sem kötelezhető ezek teljesítésére</w:t>
      </w: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 xml:space="preserve">. 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A bALEK7 folyamán megrendezésre kerülő programok esetében a szervezők a programváltoztatás jogát fenntartják!</w:t>
      </w:r>
    </w:p>
    <w:p w14:paraId="06107660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/>
      </w:r>
    </w:p>
    <w:p w14:paraId="409A0390" w14:textId="77777777" w:rsidR="005028A4" w:rsidRPr="004954CA" w:rsidRDefault="005028A4" w:rsidP="005028A4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A bALEK7-en résztvevők jogai és kötelezettségei</w:t>
      </w:r>
    </w:p>
    <w:p w14:paraId="6F87781D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3B17D158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bALEK7 lebonyolításáért a főszervezők felelősek.</w:t>
      </w:r>
    </w:p>
    <w:p w14:paraId="1BC6EA86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bALEK7-en résztvevő valamennyi személy köteles a jogszabályokban, az intézményi szabályzatokban és a jelen Szabályzatban foglaltakat betartani, a Főszervezők </w:t>
      </w: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és a szervezők (továbbiakban: utasítás adók) 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utasításainak eleget tenni. 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 Amennyiben az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utasítás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adók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utasítását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- alapos okkal – nem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kívánják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végrehajtani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arra az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utasítás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adók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figyelmét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– az ok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megjelölésével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- fel kell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hívni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391FCA15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bALEK7 résztvevői a rendezvény során kötelesek betartani és a szervezők által adott járványügyi utasításoknak megfelelően eljárni.  </w:t>
      </w:r>
    </w:p>
    <w:p w14:paraId="13985256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bALEK7 folyamán kép- és videó felvételek készítésére kerül sor, amelyek felhasználására a hatályos jogszabályok az irányadók. </w:t>
      </w:r>
    </w:p>
    <w:p w14:paraId="559B6463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bALEK7 területére tilos tiltott anyagokat bevinni. A </w:t>
      </w:r>
      <w:proofErr w:type="spellStart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Gólyatábor</w:t>
      </w:r>
      <w:proofErr w:type="spellEnd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 területére kábítószert, pirotechnikai eszközt, üvegtárgyat, ütő-, </w:t>
      </w:r>
      <w:proofErr w:type="gramStart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vágóeszközt,  robbanékony</w:t>
      </w:r>
      <w:proofErr w:type="gramEnd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-, mérgező-, gyúlékony anyagot tartalmazó tárgyat, vagy eszközt, illetve bármely egyéb, mások testi épségét veszélyeztető, vagy arra alkalmas tárgyat, vagy eszközt bevinni tilos.</w:t>
      </w:r>
    </w:p>
    <w:p w14:paraId="45671E2E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Magyarországon mind a könnyű, mind a kemény drogok fogyasztása és birtoklása is büntetendő cselekmény, ezért a rendezvényre is szigorúan TILOS a behozatala! Tilos továbbá a kábítószer fogyasztás a bALEK7 ideje alatt, annak teljes területén. A tilalom alkalmazása során nincs megkülönböztetés könnyű és nehézdrogok között, illetve annak megszegése a bALEK7-ről történő azonnali kizárást vonja maga után. Amennyiben a Szervezők </w:t>
      </w:r>
      <w:proofErr w:type="spellStart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bármelyike</w:t>
      </w:r>
      <w:proofErr w:type="spellEnd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 kábítószer fogyasztását tapasztalja a bALEK7 helyszínén tartózkodó bármely résztvevőnél, ez az adott résztvevő azonnali kizárását vonja maga után.</w:t>
      </w:r>
    </w:p>
    <w:p w14:paraId="1FFD99FD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 területére tilos a 175/2003. (X.28.) Korm. rendeletben meghatározott, közbiztonságra különösen veszélyes tárgyakat (pl. pillangókés, rugóskés, gázspray, ólmosbot, vipera, dobócsillag, boxer, elektromos sokkoló, lőfegyverutánzat, 8 cm-nél hosszabb vágó éllel vagy szúróhosszúsággal rendelkező szúró-, vágó eszköz) bevinni, vagy ott tartani.</w:t>
      </w:r>
    </w:p>
    <w:p w14:paraId="5F093921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A résztvevő köteles az akut, állandó vagy időszakos betegségeit, allergiáját az arra kijelölt személlyel közölni, és az arra vonatkozó </w:t>
      </w:r>
      <w:proofErr w:type="spellStart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gyógyszerezési</w:t>
      </w:r>
      <w:proofErr w:type="spellEnd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 xml:space="preserve"> útmutatást nyomtatott formában a bALEK7-re való belépéskor bemutatni.</w:t>
      </w:r>
    </w:p>
    <w:p w14:paraId="7FE185FE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Lázas, fertőző betegségben szenvedő, sérült/nyílt sebfelületű személyek, kábítószer vagy egyéb bódító hatású szer hatása alatt álló személyek a tábor területére nem léphetnek be, illetve ott nem tartózkodhatnak.</w:t>
      </w:r>
    </w:p>
    <w:p w14:paraId="09DE6DC5" w14:textId="02CFC32C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személyi sérüléssel járó baleset bekövetkezésekor a Főszervezőt és a szervezőket - amennyiben a sérülés súlya indokolja, a mentőket - haladéktalanul értesíteni kell. Lehetőségeihez mérten a sérült ellátásáról és további szükséges teendőkről (</w:t>
      </w:r>
      <w:proofErr w:type="spellStart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pl</w:t>
      </w:r>
      <w:proofErr w:type="spellEnd"/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: mentő hívása</w:t>
      </w: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) 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 xml:space="preserve">a </w:t>
      </w:r>
      <w:r w:rsidR="00E229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főszervező</w:t>
      </w:r>
      <w:r w:rsidRPr="004954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 xml:space="preserve"> 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köteles gondoskodni.</w:t>
      </w:r>
    </w:p>
    <w:p w14:paraId="3525C1DC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Egészségügyi veszélyhelyzet esetén a mentőket és a szervezőket haladéktalanul értesíteni kell.</w:t>
      </w:r>
    </w:p>
    <w:p w14:paraId="048ADD9B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Dohányozni csak a kijelölt dohányzóhelyeken szabad. A szabályt megszegő résztvevőt a szervezők a rendezvényről kizárják.</w:t>
      </w:r>
    </w:p>
    <w:p w14:paraId="5E643E20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rendezvény területén nyílt láng használata szigorúan tilos. Tűzgyújtás csak az erre kijelölt helyen megengedett, a tűzvédelmi és balesetvédelmi előírások betartásával, szervező jelenlétében.</w:t>
      </w:r>
    </w:p>
    <w:p w14:paraId="46B04204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lastRenderedPageBreak/>
        <w:t>Tűz észlelése esetén azonnal értesíteni kell a szervezőket, és haladéktalanul meg kell kezdeni az oltást a tűzvédelmi szabályzatban leírt módon. Szükség esetén értesíteni kell a tűzoltókat (112 telefonszámon).</w:t>
      </w:r>
    </w:p>
    <w:p w14:paraId="72E17EF9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FF0000"/>
          <w:lang w:eastAsia="hu-HU"/>
        </w:rPr>
        <w:t> 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Rendkívüli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eset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bekövetkezése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esetén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–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tűz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földrengés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más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természeti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katasztrófa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egyéb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körülmény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– az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utasítás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adók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utasításait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végre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kell hajtani, annak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megtagadására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semmilyen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körülmények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között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nincs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lehetőség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4FD10965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Minden résztvevő köteles a természeti értékeket, a rendelkezésére bocsátott, vagy használatába adott vagyontárgyakat, berendezéseket megóvni.</w:t>
      </w:r>
    </w:p>
    <w:p w14:paraId="21625A1C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 résztvevői ingóságaikat saját felelősségükre hozzák be a tábor területére, az ingóságokért a rendezvény üzemeltetője, illetve a szervezők felelősséget nem vállalnak.</w:t>
      </w:r>
    </w:p>
    <w:p w14:paraId="5527A5A9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résztvétel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ideje alatt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bekövetkezett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vagy anyagi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kár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elbírálására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felelősség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megállapítására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hatályos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jogszabályok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irányadóak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D0B14CA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rendezvény valamennyi résztvevője felelős a területek tisztaságáért. A hulladékot az erre kijelölt helyen kell és szabad elhelyezni, lehetőség szerint a szelektív gyűjtésnek megfelelő módon.</w:t>
      </w:r>
    </w:p>
    <w:p w14:paraId="5D2985C3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gólyák a bALEK7 területét csak indokolt esetben a Főszervező külön engedélyével, vagy a szervezők által kijelölt kísérővel hagyhatják el. A bALEK7 területének engedély nélküli elhagyása, a rendezvényről való kizárást vonja maga után.</w:t>
      </w:r>
    </w:p>
    <w:p w14:paraId="1CFD77C3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bALEK7 területén tilos a Főszervező engedélye nélküli kereskedelmi- és marketing tevékenységet folytatni!</w:t>
      </w:r>
    </w:p>
    <w:p w14:paraId="42E83939" w14:textId="77777777" w:rsidR="005028A4" w:rsidRPr="004954CA" w:rsidRDefault="005028A4" w:rsidP="005028A4">
      <w:pPr>
        <w:numPr>
          <w:ilvl w:val="0"/>
          <w:numId w:val="13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 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bALEKHÉTEN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tizennyolcadik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életévét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be nem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töltött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kizárólag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szülői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felügyeleti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jogot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gyakorlo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engedélyével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vehet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. Ezen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személyeket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megkülönböztetjük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1E82130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214E1458" w14:textId="77777777" w:rsidR="005028A4" w:rsidRPr="004954CA" w:rsidRDefault="005028A4" w:rsidP="005028A4">
      <w:pPr>
        <w:numPr>
          <w:ilvl w:val="0"/>
          <w:numId w:val="14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hu-HU"/>
        </w:rPr>
        <w:t>A Szabályzat megsértésének következményei</w:t>
      </w:r>
    </w:p>
    <w:p w14:paraId="4B6F28A5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02771005" w14:textId="77777777" w:rsidR="005028A4" w:rsidRPr="004954CA" w:rsidRDefault="005028A4" w:rsidP="005028A4">
      <w:pPr>
        <w:numPr>
          <w:ilvl w:val="0"/>
          <w:numId w:val="15"/>
        </w:numPr>
        <w:ind w:left="1080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Amennyiben a résztvevő a Szabályzatban foglaltakat megsérti, úgy az eset körülményeinek mérlegelése alapján a Főszervező dönthet úgy, hogy az érintett személyt:</w:t>
      </w:r>
    </w:p>
    <w:p w14:paraId="2CAE4DA2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a) szóbeli vagy írásbeli 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figyelmeztetésben részesíti</w:t>
      </w:r>
    </w:p>
    <w:p w14:paraId="35E51413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b) kizárja a Rendezvényről és felszólítja annak elhagyására</w:t>
      </w:r>
    </w:p>
    <w:p w14:paraId="303FEDAD" w14:textId="77777777" w:rsidR="005028A4" w:rsidRPr="004954CA" w:rsidRDefault="005028A4" w:rsidP="005028A4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Főszervező a résztvevőt köteles a rendezvényről kitiltani, amennyiben</w:t>
      </w:r>
    </w:p>
    <w:p w14:paraId="1F8DD859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a) a rendezvény házirendjét ismételten és súlyosan megszegi</w:t>
      </w:r>
    </w:p>
    <w:p w14:paraId="1FB18149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b) olyan kirívóan közösségellenes magatartást tanúsít, mely alkalmas arra, hogy másokban vagy a rendezvény életében komoly zavart keltsen</w:t>
      </w:r>
    </w:p>
    <w:p w14:paraId="77B994C6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c) saját vagy mások életét, testi épségét, egészségét veszélyeztető megatartást tanúsít</w:t>
      </w:r>
    </w:p>
    <w:p w14:paraId="258D662B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d) bűncselekményt vagy szabálysértést követ el (különös tekintettel kábítószer</w:t>
      </w:r>
    </w:p>
    <w:p w14:paraId="3C954B60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 fogyasztására, azzal való kereskedésre);</w:t>
      </w:r>
    </w:p>
    <w:p w14:paraId="46796DDA" w14:textId="77777777" w:rsidR="005028A4" w:rsidRPr="004954CA" w:rsidRDefault="005028A4" w:rsidP="005028A4">
      <w:pPr>
        <w:ind w:left="10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e) jogszabályt vagy egyetemi szabályozást súlyosan megsért</w:t>
      </w:r>
    </w:p>
    <w:p w14:paraId="3B782514" w14:textId="77777777" w:rsidR="005028A4" w:rsidRPr="004954CA" w:rsidRDefault="005028A4" w:rsidP="005028A4">
      <w:pPr>
        <w:numPr>
          <w:ilvl w:val="0"/>
          <w:numId w:val="17"/>
        </w:numPr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Főszervező az eset súlyától függően dönthet arról, hogy kezdeményezi az érintett résztvevő (büntetőjogi, polgári jogi, fegyelmi) felelősségre vonását, valamint a HKR V. Fejezetében foglaltaknak megfelelően fegyelmi és kártérítési felelősségre vonását.</w:t>
      </w:r>
    </w:p>
    <w:p w14:paraId="0B3344CA" w14:textId="77777777" w:rsidR="005028A4" w:rsidRPr="004954CA" w:rsidRDefault="005028A4" w:rsidP="005028A4">
      <w:pPr>
        <w:numPr>
          <w:ilvl w:val="0"/>
          <w:numId w:val="18"/>
        </w:numPr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szabálysértők semmilyen anyagi vagy erkölcsi követeléssel nem léphetnek fel a szervezők felé (pénzvisszatérítés, kártérítés).</w:t>
      </w:r>
    </w:p>
    <w:p w14:paraId="48E2A8AA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/>
      </w:r>
    </w:p>
    <w:p w14:paraId="3A6D4CD6" w14:textId="77777777" w:rsidR="005028A4" w:rsidRPr="004954CA" w:rsidRDefault="005028A4" w:rsidP="005028A4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Az alkalmazott szankciókkal szemben biztosított jogorvoslat</w:t>
      </w:r>
    </w:p>
    <w:p w14:paraId="0E2987BC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6A48F08A" w14:textId="77777777" w:rsidR="005028A4" w:rsidRPr="004954CA" w:rsidRDefault="005028A4" w:rsidP="005028A4">
      <w:pPr>
        <w:numPr>
          <w:ilvl w:val="0"/>
          <w:numId w:val="2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résztvevője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sérelmesnek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tartott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intézkedéssel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vagy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magatartással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szemben,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sérelmesnek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tartott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intézkedés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vagy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magatartást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követően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késedelem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nélkül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legkésőbb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Gólyatábor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zárónapját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követo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3 napon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belül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Főszervezőnél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írásban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panasszal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élhet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B40D5A6" w14:textId="77777777" w:rsidR="005028A4" w:rsidRPr="004954CA" w:rsidRDefault="005028A4" w:rsidP="005028A4">
      <w:pPr>
        <w:numPr>
          <w:ilvl w:val="0"/>
          <w:numId w:val="20"/>
        </w:numPr>
        <w:jc w:val="both"/>
        <w:textAlignment w:val="baseline"/>
        <w:rPr>
          <w:rFonts w:ascii="Quattrocento Sans" w:eastAsia="Times New Roman" w:hAnsi="Quattrocento Sans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 A panasz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érdemi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elbírálására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késedelem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nélkül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de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legkésőbb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panasz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benyújtásától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számított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8 napon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belül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köteles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5150E9EA" w14:textId="77777777" w:rsidR="005028A4" w:rsidRPr="004954CA" w:rsidRDefault="005028A4" w:rsidP="005028A4">
      <w:pPr>
        <w:numPr>
          <w:ilvl w:val="0"/>
          <w:numId w:val="20"/>
        </w:numPr>
        <w:jc w:val="both"/>
        <w:textAlignment w:val="baseline"/>
        <w:rPr>
          <w:rFonts w:ascii="Quattrocento Sans" w:eastAsia="Times New Roman" w:hAnsi="Quattrocento Sans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által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meghozott panaszt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elbírálo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határozat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ellen jogorvoslatnak helye nincs.</w:t>
      </w:r>
    </w:p>
    <w:p w14:paraId="282AA115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06726BC3" w14:textId="77777777" w:rsidR="005028A4" w:rsidRPr="004954CA" w:rsidRDefault="005028A4" w:rsidP="005028A4">
      <w:pPr>
        <w:numPr>
          <w:ilvl w:val="0"/>
          <w:numId w:val="21"/>
        </w:numPr>
        <w:textAlignment w:val="baseline"/>
        <w:rPr>
          <w:rFonts w:ascii="Times" w:eastAsia="Times New Roman" w:hAnsi="Times" w:cs="Times New Roman"/>
          <w:b/>
          <w:bCs/>
          <w:color w:val="000000"/>
          <w:lang w:eastAsia="hu-HU"/>
        </w:rPr>
      </w:pPr>
      <w:r w:rsidRPr="004954CA">
        <w:rPr>
          <w:rFonts w:ascii="Times" w:eastAsia="Times New Roman" w:hAnsi="Times" w:cs="Times New Roman"/>
          <w:b/>
          <w:bCs/>
          <w:color w:val="000000"/>
          <w:lang w:eastAsia="hu-HU"/>
        </w:rPr>
        <w:t>Záró rendelkezések</w:t>
      </w:r>
    </w:p>
    <w:p w14:paraId="6E9CD61A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11CEA17A" w14:textId="77777777" w:rsidR="005028A4" w:rsidRPr="004954CA" w:rsidRDefault="005028A4" w:rsidP="005028A4">
      <w:pPr>
        <w:numPr>
          <w:ilvl w:val="0"/>
          <w:numId w:val="22"/>
        </w:numPr>
        <w:ind w:left="709"/>
        <w:textAlignment w:val="baseline"/>
        <w:rPr>
          <w:rFonts w:ascii="Times" w:eastAsia="Times New Roman" w:hAnsi="Times" w:cs="Times New Roman"/>
          <w:b/>
          <w:bCs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kötelesek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Házirendet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bALEKHÉT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előtt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megismerhetőve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tenni, valamint annak teljes ideje alatt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megismerhetőve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tenni, azt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kifüggeszteni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3F158CE1" w14:textId="77777777" w:rsidR="005028A4" w:rsidRPr="004954CA" w:rsidRDefault="005028A4" w:rsidP="005028A4">
      <w:pPr>
        <w:numPr>
          <w:ilvl w:val="0"/>
          <w:numId w:val="22"/>
        </w:numPr>
        <w:ind w:left="709"/>
        <w:textAlignment w:val="baseline"/>
        <w:rPr>
          <w:rFonts w:ascii="Times" w:eastAsia="Times New Roman" w:hAnsi="Times" w:cs="Times New Roman"/>
          <w:b/>
          <w:bCs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résztvevők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jelentkezésnél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valamint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regisztrácio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́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során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nyilatkoznak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megismeréséről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megértéséről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, annak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elfogadásáról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.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megismerés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elmulasztásából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eredo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̋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károkért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Főszervezők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felelősséggel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nem tartoznak.</w:t>
      </w:r>
    </w:p>
    <w:p w14:paraId="38CA591F" w14:textId="77777777" w:rsidR="005028A4" w:rsidRPr="004954CA" w:rsidRDefault="005028A4" w:rsidP="005028A4">
      <w:pPr>
        <w:numPr>
          <w:ilvl w:val="0"/>
          <w:numId w:val="22"/>
        </w:numPr>
        <w:ind w:left="709"/>
        <w:textAlignment w:val="baseline"/>
        <w:rPr>
          <w:rFonts w:ascii="Times" w:eastAsia="Times New Roman" w:hAnsi="Times" w:cs="Times New Roman"/>
          <w:b/>
          <w:bCs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 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rendelkezései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mellett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elsődlegesen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érvényesülnek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Magyarországon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hatályos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jogszabályok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45C9DBBE" w14:textId="77777777" w:rsidR="005028A4" w:rsidRPr="004954CA" w:rsidRDefault="005028A4" w:rsidP="005028A4">
      <w:pPr>
        <w:numPr>
          <w:ilvl w:val="0"/>
          <w:numId w:val="22"/>
        </w:numPr>
        <w:spacing w:after="200"/>
        <w:ind w:left="709"/>
        <w:textAlignment w:val="baseline"/>
        <w:rPr>
          <w:rFonts w:ascii="Times" w:eastAsia="Times New Roman" w:hAnsi="Times" w:cs="Times New Roman"/>
          <w:b/>
          <w:bCs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 Jelen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házirend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 augusztus 2</w:t>
      </w:r>
      <w:r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-én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lép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hatályba</w:t>
      </w:r>
      <w:proofErr w:type="spellEnd"/>
      <w:r w:rsidRPr="004954C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BFFEDEC" w14:textId="77777777" w:rsidR="005028A4" w:rsidRPr="004954CA" w:rsidRDefault="005028A4" w:rsidP="005028A4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4577822" w14:textId="77777777" w:rsidR="005028A4" w:rsidRPr="004954CA" w:rsidRDefault="005028A4" w:rsidP="005028A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Miskolc, 202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2</w:t>
      </w:r>
      <w:r w:rsidRPr="004954CA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. július 21</w:t>
      </w:r>
      <w:r w:rsidRPr="004954CA">
        <w:rPr>
          <w:rFonts w:ascii="Quattrocento Sans" w:eastAsia="Times New Roman" w:hAnsi="Quattrocento Sans" w:cs="Times New Roman"/>
          <w:color w:val="212529"/>
          <w:shd w:val="clear" w:color="auto" w:fill="FFFFFF"/>
          <w:lang w:eastAsia="hu-HU"/>
        </w:rPr>
        <w:t>.</w:t>
      </w:r>
    </w:p>
    <w:p w14:paraId="45427059" w14:textId="77777777" w:rsidR="005028A4" w:rsidRDefault="005028A4"/>
    <w:sectPr w:rsidR="0050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B3A"/>
    <w:multiLevelType w:val="multilevel"/>
    <w:tmpl w:val="2B1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575BA"/>
    <w:multiLevelType w:val="multilevel"/>
    <w:tmpl w:val="706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523DE"/>
    <w:multiLevelType w:val="multilevel"/>
    <w:tmpl w:val="5E485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5040D"/>
    <w:multiLevelType w:val="multilevel"/>
    <w:tmpl w:val="06A6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44E35"/>
    <w:multiLevelType w:val="multilevel"/>
    <w:tmpl w:val="048CB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B2EC3"/>
    <w:multiLevelType w:val="multilevel"/>
    <w:tmpl w:val="6A689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90B84"/>
    <w:multiLevelType w:val="multilevel"/>
    <w:tmpl w:val="0C4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495"/>
    <w:multiLevelType w:val="multilevel"/>
    <w:tmpl w:val="4768D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5177B"/>
    <w:multiLevelType w:val="multilevel"/>
    <w:tmpl w:val="EB6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12FDE"/>
    <w:multiLevelType w:val="multilevel"/>
    <w:tmpl w:val="45706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82F17"/>
    <w:multiLevelType w:val="multilevel"/>
    <w:tmpl w:val="9BE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9627A"/>
    <w:multiLevelType w:val="multilevel"/>
    <w:tmpl w:val="5C1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21615"/>
    <w:multiLevelType w:val="multilevel"/>
    <w:tmpl w:val="98927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12147"/>
    <w:multiLevelType w:val="multilevel"/>
    <w:tmpl w:val="986C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F2329"/>
    <w:multiLevelType w:val="multilevel"/>
    <w:tmpl w:val="484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41C85"/>
    <w:multiLevelType w:val="multilevel"/>
    <w:tmpl w:val="97A2C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A5673"/>
    <w:multiLevelType w:val="multilevel"/>
    <w:tmpl w:val="A470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27E43"/>
    <w:multiLevelType w:val="multilevel"/>
    <w:tmpl w:val="39FE4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5762A"/>
    <w:multiLevelType w:val="multilevel"/>
    <w:tmpl w:val="EBB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117960">
    <w:abstractNumId w:val="18"/>
  </w:num>
  <w:num w:numId="2" w16cid:durableId="1000959983">
    <w:abstractNumId w:val="8"/>
  </w:num>
  <w:num w:numId="3" w16cid:durableId="1706369946">
    <w:abstractNumId w:val="16"/>
    <w:lvlOverride w:ilvl="0">
      <w:lvl w:ilvl="0">
        <w:numFmt w:val="decimal"/>
        <w:lvlText w:val="%1."/>
        <w:lvlJc w:val="left"/>
      </w:lvl>
    </w:lvlOverride>
  </w:num>
  <w:num w:numId="4" w16cid:durableId="1512834645">
    <w:abstractNumId w:val="1"/>
  </w:num>
  <w:num w:numId="5" w16cid:durableId="90768688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095714180">
    <w:abstractNumId w:val="6"/>
  </w:num>
  <w:num w:numId="7" w16cid:durableId="1620837311">
    <w:abstractNumId w:val="5"/>
    <w:lvlOverride w:ilvl="0">
      <w:lvl w:ilvl="0">
        <w:numFmt w:val="decimal"/>
        <w:lvlText w:val="%1."/>
        <w:lvlJc w:val="left"/>
      </w:lvl>
    </w:lvlOverride>
  </w:num>
  <w:num w:numId="8" w16cid:durableId="56904868">
    <w:abstractNumId w:val="14"/>
  </w:num>
  <w:num w:numId="9" w16cid:durableId="1515460634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515460634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515460634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606426956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1341465479">
    <w:abstractNumId w:val="13"/>
  </w:num>
  <w:num w:numId="14" w16cid:durableId="413163679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133475993">
    <w:abstractNumId w:val="11"/>
  </w:num>
  <w:num w:numId="16" w16cid:durableId="560792083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259677661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259677661">
    <w:abstractNumId w:val="15"/>
    <w:lvlOverride w:ilvl="0">
      <w:lvl w:ilvl="0">
        <w:numFmt w:val="decimal"/>
        <w:lvlText w:val="%1."/>
        <w:lvlJc w:val="left"/>
      </w:lvl>
    </w:lvlOverride>
  </w:num>
  <w:num w:numId="19" w16cid:durableId="1245187100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347219890">
    <w:abstractNumId w:val="3"/>
  </w:num>
  <w:num w:numId="21" w16cid:durableId="1646854199">
    <w:abstractNumId w:val="12"/>
    <w:lvlOverride w:ilvl="0">
      <w:lvl w:ilvl="0">
        <w:numFmt w:val="decimal"/>
        <w:lvlText w:val="%1."/>
        <w:lvlJc w:val="left"/>
      </w:lvl>
    </w:lvlOverride>
  </w:num>
  <w:num w:numId="22" w16cid:durableId="1714497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A4"/>
    <w:rsid w:val="00501449"/>
    <w:rsid w:val="005028A4"/>
    <w:rsid w:val="00E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7C89F"/>
  <w15:chartTrackingRefBased/>
  <w15:docId w15:val="{0920525E-76AB-E74F-AAB7-06E29FA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28A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1617</Words>
  <Characters>11163</Characters>
  <Application>Microsoft Office Word</Application>
  <DocSecurity>0</DocSecurity>
  <Lines>93</Lines>
  <Paragraphs>25</Paragraphs>
  <ScaleCrop>false</ScaleCrop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Kincső Varga</dc:creator>
  <cp:keywords/>
  <dc:description/>
  <cp:lastModifiedBy>Zsófia Kincső Varga</cp:lastModifiedBy>
  <cp:revision>3</cp:revision>
  <dcterms:created xsi:type="dcterms:W3CDTF">2022-07-20T06:06:00Z</dcterms:created>
  <dcterms:modified xsi:type="dcterms:W3CDTF">2022-07-20T07:06:00Z</dcterms:modified>
</cp:coreProperties>
</file>